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both"/>
        <w:rPr>
          <w:color w:val="auto"/>
        </w:rPr>
      </w:pPr>
      <w:r>
        <w:rPr>
          <w:rFonts w:ascii="Tinos" w:hAnsi="Tinos"/>
          <w:color w:val="auto"/>
          <w:sz w:val="26"/>
          <w:szCs w:val="26"/>
        </w:rPr>
        <w:t xml:space="preserve">26 декабря 2024 года в </w:t>
      </w:r>
      <w:r>
        <w:rPr>
          <w:rFonts w:ascii="Tinos" w:hAnsi="Tinos"/>
          <w:color w:val="auto"/>
          <w:sz w:val="26"/>
          <w:szCs w:val="26"/>
        </w:rPr>
        <w:t xml:space="preserve">Закон Челябинской области </w:t>
      </w:r>
      <w:r>
        <w:rPr>
          <w:rFonts w:ascii="Tinos" w:hAnsi="Tinos"/>
          <w:color w:val="auto"/>
          <w:sz w:val="26"/>
          <w:szCs w:val="26"/>
        </w:rPr>
        <w:t xml:space="preserve">от 06.09.2024 </w:t>
      </w:r>
      <w:r>
        <w:rPr>
          <w:rFonts w:ascii="Tinos" w:hAnsi="Tinos"/>
          <w:color w:val="auto"/>
          <w:sz w:val="26"/>
          <w:szCs w:val="26"/>
        </w:rPr>
        <w:t xml:space="preserve">№ 132-ЗО </w:t>
      </w:r>
      <w:r>
        <w:rPr>
          <w:rFonts w:ascii="Tinos" w:hAnsi="Tinos"/>
          <w:color w:val="auto"/>
          <w:sz w:val="26"/>
          <w:szCs w:val="26"/>
        </w:rPr>
        <w:t xml:space="preserve">"О знаке отличия Челябинской области "Семейное счастье" </w:t>
      </w:r>
      <w:r>
        <w:rPr>
          <w:rFonts w:ascii="Tinos" w:hAnsi="Tinos"/>
          <w:color w:val="auto"/>
          <w:sz w:val="26"/>
          <w:szCs w:val="26"/>
        </w:rPr>
        <w:t xml:space="preserve">внесены изменения </w:t>
      </w:r>
      <w:r>
        <w:rPr>
          <w:rFonts w:ascii="Tinos" w:hAnsi="Tinos"/>
          <w:color w:val="auto"/>
          <w:sz w:val="26"/>
          <w:szCs w:val="26"/>
        </w:rPr>
        <w:t>(</w:t>
      </w:r>
      <w:r>
        <w:rPr>
          <w:rFonts w:ascii="Tinos" w:hAnsi="Tinos"/>
          <w:color w:val="auto"/>
          <w:sz w:val="26"/>
          <w:szCs w:val="26"/>
        </w:rPr>
        <w:t>вступили      в законную силу</w:t>
      </w:r>
      <w:r>
        <w:rPr>
          <w:rFonts w:ascii="Tinos" w:hAnsi="Tinos"/>
          <w:color w:val="auto"/>
          <w:sz w:val="26"/>
          <w:szCs w:val="26"/>
        </w:rPr>
        <w:t xml:space="preserve"> 06.01.2025). </w:t>
      </w:r>
    </w:p>
    <w:p>
      <w:pPr>
        <w:pStyle w:val="BodyText"/>
        <w:numPr>
          <w:ilvl w:val="0"/>
          <w:numId w:val="1"/>
        </w:numPr>
        <w:bidi w:val="0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ПРЕДУСМОТРЕНЫ СЛЕДУЮЩИЕ УСЛОВИЯ</w:t>
      </w:r>
      <w:r>
        <w:rPr>
          <w:rFonts w:ascii="Tinos" w:hAnsi="Tinos"/>
          <w:sz w:val="26"/>
          <w:szCs w:val="26"/>
        </w:rPr>
        <w:t>, необходимые для награждения знаком отличия "</w:t>
      </w:r>
      <w:r>
        <w:rPr>
          <w:rStyle w:val="Strong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":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1) супруги должны прожить в официальном браке 50, 60 или 70 лет и брак не </w:t>
      </w:r>
      <w:r>
        <w:rPr>
          <w:rFonts w:ascii="Tinos" w:hAnsi="Tinos"/>
          <w:sz w:val="26"/>
          <w:szCs w:val="26"/>
        </w:rPr>
        <w:t>был</w:t>
      </w:r>
      <w:r>
        <w:rPr>
          <w:rFonts w:ascii="Tinos" w:hAnsi="Tinos"/>
          <w:sz w:val="26"/>
          <w:szCs w:val="26"/>
        </w:rPr>
        <w:t xml:space="preserve"> признан судом недействительным.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Исчисление 50-ти, 60-ти или 70-ти летнего периода супружеской жизни осуществляется исходя из последней даты заключения брака в органах записи актов гражданского состояния. Различные периоды брака между одними и теми же супругами                                   не суммируются;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2) на момент обращения оба супруга живы;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3) оба супруга являются гражданами Российской Федерации не менее </w:t>
      </w:r>
      <w:r>
        <w:rPr>
          <w:rFonts w:ascii="Tinos" w:hAnsi="Tinos"/>
          <w:sz w:val="26"/>
          <w:szCs w:val="26"/>
          <w:u w:val="single"/>
        </w:rPr>
        <w:t>пятнадцати лет</w:t>
      </w:r>
      <w:r>
        <w:rPr>
          <w:rFonts w:ascii="Tinos" w:hAnsi="Tinos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>на дату возбуждения ходатайства о награждении знаком отличи</w:t>
      </w:r>
      <w:r>
        <w:rPr>
          <w:rFonts w:ascii="Tinos" w:hAnsi="Tinos"/>
          <w:b w:val="false"/>
          <w:bCs w:val="false"/>
          <w:color w:val="000000"/>
          <w:sz w:val="26"/>
          <w:szCs w:val="26"/>
          <w:shd w:fill="auto" w:val="clear"/>
        </w:rPr>
        <w:t xml:space="preserve">я "Семейное счастье".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 w:val="false"/>
          <w:bCs w:val="false"/>
          <w:color w:val="000000"/>
          <w:sz w:val="26"/>
          <w:szCs w:val="26"/>
          <w:shd w:fill="auto" w:val="clear"/>
        </w:rPr>
        <w:t>Д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 xml:space="preserve">анная норма не распространяется на граждан Российской Федерации, которые приобрели гражданство Российской Федерации до дня принятия в Российскую Федерацию Луганской Народной Республики, Донецкой  Народной Республики, Херсонской области, Запорожской области и постоянно проживали в данных субъектах на 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>указанный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 xml:space="preserve"> день или ранее;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  <w:shd w:fill="auto" w:val="clear"/>
        </w:rPr>
      </w:pP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 xml:space="preserve">4) оба супруга зарегистрированы по месту жительства на территории Челябинской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</w:t>
      </w:r>
      <w:r>
        <w:rPr>
          <w:rFonts w:ascii="Tinos" w:hAnsi="Tinos"/>
          <w:b w:val="false"/>
          <w:bCs w:val="false"/>
          <w:color w:val="1B1B1B"/>
          <w:sz w:val="26"/>
          <w:szCs w:val="26"/>
          <w:u w:val="none"/>
          <w:shd w:fill="auto" w:val="clear"/>
        </w:rPr>
        <w:t xml:space="preserve">не менее </w:t>
      </w:r>
      <w:r>
        <w:rPr>
          <w:rFonts w:ascii="Tinos" w:hAnsi="Tinos"/>
          <w:b w:val="false"/>
          <w:bCs w:val="false"/>
          <w:color w:val="1B1B1B"/>
          <w:sz w:val="26"/>
          <w:szCs w:val="26"/>
          <w:u w:val="single"/>
          <w:shd w:fill="auto" w:val="clear"/>
        </w:rPr>
        <w:t>пятнадцати лет</w:t>
      </w:r>
      <w:r>
        <w:rPr>
          <w:rFonts w:ascii="Tinos" w:hAnsi="Tinos"/>
          <w:b w:val="false"/>
          <w:bCs w:val="false"/>
          <w:color w:val="1B1B1B"/>
          <w:sz w:val="26"/>
          <w:szCs w:val="26"/>
          <w:u w:val="none"/>
          <w:shd w:fill="auto" w:val="clear"/>
        </w:rPr>
        <w:t xml:space="preserve"> </w:t>
      </w:r>
      <w:r>
        <w:rPr>
          <w:rFonts w:ascii="Tinos" w:hAnsi="Tinos"/>
          <w:b w:val="false"/>
          <w:bCs w:val="false"/>
          <w:color w:val="1B1B1B"/>
          <w:sz w:val="26"/>
          <w:szCs w:val="26"/>
          <w:shd w:fill="auto" w:val="clear"/>
        </w:rPr>
        <w:t>на дату возбуждения ходатайства о награждении знаком отличи</w:t>
      </w:r>
      <w:r>
        <w:rPr>
          <w:rFonts w:ascii="Tinos" w:hAnsi="Tinos"/>
          <w:b w:val="false"/>
          <w:bCs w:val="false"/>
          <w:color w:val="000000"/>
          <w:sz w:val="26"/>
          <w:szCs w:val="26"/>
          <w:shd w:fill="auto" w:val="clear"/>
        </w:rPr>
        <w:t>я "Семейное счастье";</w:t>
      </w:r>
    </w:p>
    <w:p>
      <w:pPr>
        <w:pStyle w:val="BodyText"/>
        <w:bidi w:val="0"/>
        <w:jc w:val="both"/>
        <w:rPr/>
      </w:pPr>
      <w:r>
        <w:rPr>
          <w:rFonts w:ascii="Tinos" w:hAnsi="Tinos"/>
          <w:sz w:val="26"/>
          <w:szCs w:val="26"/>
          <w:shd w:fill="auto" w:val="clear"/>
        </w:rPr>
        <w:t>5) супруги не имеют</w:t>
      </w:r>
      <w:r>
        <w:rPr>
          <w:rFonts w:ascii="Tinos" w:hAnsi="Tinos"/>
          <w:color w:val="1B1B1B"/>
          <w:sz w:val="26"/>
          <w:szCs w:val="26"/>
          <w:shd w:fill="auto" w:val="clear"/>
        </w:rPr>
        <w:t xml:space="preserve"> неснятую </w:t>
      </w:r>
      <w:r>
        <w:rPr>
          <w:rFonts w:ascii="Tinos" w:hAnsi="Tinos"/>
          <w:sz w:val="26"/>
          <w:szCs w:val="26"/>
          <w:shd w:fill="auto" w:val="clear"/>
        </w:rPr>
        <w:t>или непогашенную судимость, не были лишены</w:t>
      </w:r>
      <w:r>
        <w:rPr>
          <w:rFonts w:ascii="Tinos" w:hAnsi="Tinos"/>
          <w:sz w:val="26"/>
          <w:szCs w:val="26"/>
        </w:rPr>
        <w:t xml:space="preserve"> родительских прав либо ограничены в родительских правах в отношении хотя бы одного их ребенка. Дети указанных супругов не имеют неснятую или непогашенную судимость. При этом наличие детей у супругов не является обязательным условием;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6) супруги (один из супругов) имеют государственные награды Российской Федерации,      и (или) награды Челябинской области, и (или) иные поощрения за достижения                     в профессиональной, творческой и иной общественно значимой деятельности.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Под иными поощрениями за достижения в профессиональной, творческой и иной общественно значимой деятельности понимаются любые виды наград, знаков отличия, которыми могли быть поощрены супруги либо один из супругов, в том числе ведомственные знаки отличия и награды по месту осуществления трудовой деятельности, а также за общественную, профсоюзную деятельность. </w:t>
      </w:r>
    </w:p>
    <w:p>
      <w:pPr>
        <w:pStyle w:val="BodyText"/>
        <w:bidi w:val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7) супруги (один из супругов) имеют (имеет) стаж трудовой (служебной) деятельности на территории Челябинской области не менее </w:t>
      </w:r>
      <w:r>
        <w:rPr>
          <w:rFonts w:ascii="Tinos" w:hAnsi="Tinos"/>
          <w:sz w:val="26"/>
          <w:szCs w:val="26"/>
          <w:u w:val="single"/>
        </w:rPr>
        <w:t>пятнадцати лет</w:t>
      </w:r>
      <w:r>
        <w:rPr>
          <w:rFonts w:ascii="Tinos" w:hAnsi="Tinos"/>
          <w:sz w:val="26"/>
          <w:szCs w:val="26"/>
        </w:rPr>
        <w:t>.</w:t>
      </w:r>
    </w:p>
    <w:p>
      <w:pPr>
        <w:pStyle w:val="BodyText"/>
        <w:spacing w:lineRule="auto" w:line="240"/>
        <w:ind w:hanging="0" w:left="0" w:righ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color w:val="auto"/>
          <w:sz w:val="26"/>
          <w:szCs w:val="26"/>
        </w:rPr>
        <w:t xml:space="preserve"> </w:t>
      </w:r>
      <w:r>
        <w:rPr>
          <w:rFonts w:ascii="Tinos" w:hAnsi="Tinos"/>
          <w:color w:val="auto"/>
          <w:sz w:val="26"/>
          <w:szCs w:val="26"/>
        </w:rPr>
        <w:tab/>
        <w:t>Ходатайства о награждении знаком отличия  «Семейное счастье» оформляются на основании обращения (заявления) супругов (одного из супругов). Подать обращение (заявление) супружеская пара может в течение 12 календарных  месяцев, начиная с месяца, в котором наступила юбилейная дата.</w:t>
      </w:r>
    </w:p>
    <w:p>
      <w:pPr>
        <w:pStyle w:val="BodyText"/>
        <w:numPr>
          <w:ilvl w:val="0"/>
          <w:numId w:val="2"/>
        </w:numPr>
        <w:bidi w:val="0"/>
        <w:spacing w:lineRule="auto" w:line="276" w:before="0" w:after="140"/>
        <w:ind w:firstLine="57" w:left="0" w:right="0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ПЕРЕЧЕНЬ ДОКУМЕНТОВ</w:t>
      </w:r>
      <w:r>
        <w:rPr>
          <w:rFonts w:ascii="Tinos" w:hAnsi="Tinos"/>
          <w:sz w:val="26"/>
          <w:szCs w:val="26"/>
        </w:rPr>
        <w:t>, прилагаемых к ходатайству о награждении знаком отличия "</w:t>
      </w:r>
      <w:r>
        <w:rPr>
          <w:rStyle w:val="Strong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>", и порядок их рассмотрения утверждаются Губернатором Челябинской области:</w:t>
      </w:r>
    </w:p>
    <w:p>
      <w:pPr>
        <w:pStyle w:val="BodyText"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left"/>
        <w:rPr/>
      </w:pPr>
      <w:r>
        <w:rPr>
          <w:rFonts w:ascii="Tinos" w:hAnsi="Tinos"/>
          <w:sz w:val="26"/>
          <w:szCs w:val="26"/>
        </w:rPr>
        <w:t>1. Обращение (заявление) супругов (одного из супругов);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2. Документ, удостоверяющий личность и гражданство Российской Федерации (паспорт) обоих супругов и детей (при наличии у супружеской пары детей);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3. Письменное согласие обоих супругов и детей (при наличии у супружеской пары детей) на обработку своих персональных данных;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4. Свидетельство о заключении брака (сведения о заключении брака);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5. Документ, содержащий сведения о страховом номере индивидуального лицевого счета (СНИЛС) обоих супругов;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6. Свидетельство (сведения) о рождении детей (при наличии у супружеской пары детей), свидетельство (сведения) о браке (расторжении брака) детей в случае изменения фамилии;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7. Копии документов, подтверждающих наличие у супругов (одного из супругов) 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деятельности;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8</w:t>
      </w:r>
      <w:r>
        <w:rPr>
          <w:rFonts w:ascii="Tinos" w:hAnsi="Tinos"/>
          <w:sz w:val="26"/>
          <w:szCs w:val="26"/>
        </w:rPr>
        <w:t>.</w:t>
      </w:r>
      <w:r>
        <w:rPr>
          <w:rFonts w:ascii="Tinos" w:hAnsi="Tinos"/>
          <w:color w:val="auto"/>
          <w:sz w:val="26"/>
          <w:szCs w:val="26"/>
        </w:rPr>
        <w:t xml:space="preserve"> Сведения из Социального фонда России «Информирование застрахованных лиц о состоянии индивидуальных лицевых счетов в системе обязательного пенсионного страхования» (можно получить в Социальном фонде России, в многофункциональных центрах предоставления услуг либо через личный кабинет на Едином портале государственных услуг). При отсутствии таких сведений предоставляется трудовая книжка, трудовой договор, справки, выданные работодателями по месту работы (службы) и другие документы, подтверждающие трудовую (служебную) деятельность на территории Челябинской области; 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9</w:t>
      </w:r>
      <w:r>
        <w:rPr>
          <w:rFonts w:ascii="Tinos" w:hAnsi="Tinos"/>
          <w:sz w:val="26"/>
          <w:szCs w:val="26"/>
        </w:rPr>
        <w:t>. Документ, содержащий сведения о реквизитах счетов, открытых в российских банках (справка о реквизитах счета) на имя супругов (одного из супругов по выбору семейной пары).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>
          <w:i/>
          <w:i/>
          <w:iCs/>
        </w:rPr>
      </w:pPr>
      <w:r>
        <w:rPr>
          <w:rFonts w:ascii="Tinos" w:hAnsi="Tinos"/>
          <w:i/>
          <w:iCs/>
          <w:sz w:val="26"/>
          <w:szCs w:val="26"/>
        </w:rPr>
        <w:tab/>
        <w:t xml:space="preserve">Сведения о лишении родительских прав либо ограничении в родительских правах, сведения об отсутствии судимости и факта уголовного преследования, документы </w:t>
      </w:r>
      <w:r>
        <w:rPr>
          <w:rFonts w:ascii="Tinos" w:hAnsi="Tinos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(сведения), указанные в п. 4,6 </w:t>
      </w:r>
      <w:r>
        <w:rPr>
          <w:rFonts w:ascii="Tinos" w:hAnsi="Tinos"/>
          <w:i/>
          <w:iCs/>
          <w:sz w:val="26"/>
          <w:szCs w:val="26"/>
        </w:rPr>
        <w:t>запрашиваются органами социальной защиты самостоятельно в рамках межведомственного электронного взаимодействия.</w:t>
      </w:r>
    </w:p>
    <w:p>
      <w:pPr>
        <w:pStyle w:val="BodyText"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>
          <w:i/>
          <w:i/>
          <w:iCs/>
        </w:rPr>
      </w:pPr>
      <w:r>
        <w:rPr>
          <w:rFonts w:ascii="Tinos" w:hAnsi="Tinos"/>
          <w:i/>
          <w:iCs/>
          <w:caps w:val="false"/>
          <w:smallCaps w:val="false"/>
          <w:color w:val="000000"/>
          <w:spacing w:val="0"/>
          <w:sz w:val="26"/>
          <w:szCs w:val="26"/>
        </w:rPr>
        <w:t> </w:t>
      </w:r>
      <w:r>
        <w:rPr>
          <w:rFonts w:ascii="Tinos" w:hAnsi="Tinos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В случае не поступления документов (сведений) в рамках межведомственного электронного взаимодействия предоставляются супругами (одним из супругов) в орган социальной защиты самостоятельно.</w:t>
      </w:r>
    </w:p>
    <w:p>
      <w:pPr>
        <w:pStyle w:val="BodyText"/>
        <w:numPr>
          <w:ilvl w:val="0"/>
          <w:numId w:val="3"/>
        </w:numPr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b/>
          <w:bCs/>
          <w:sz w:val="26"/>
          <w:szCs w:val="26"/>
          <w:u w:val="single"/>
        </w:rPr>
        <w:t>ЕДИНОВРЕМЕННОЕ ДЕНЕЖНОЕ ВОЗНАГРАЖДЕНИЕ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Супружеской паре, награжденной знаком отличия "</w:t>
      </w:r>
      <w:r>
        <w:rPr>
          <w:rStyle w:val="Strong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", выплачивается единовременное денежное вознаграждение, </w:t>
      </w:r>
      <w:r>
        <w:rPr>
          <w:rFonts w:ascii="Tinos" w:hAnsi="Tinos"/>
          <w:sz w:val="26"/>
          <w:szCs w:val="26"/>
        </w:rPr>
        <w:t>выплата единовременного денежного вознаграждения к последующей юбилейной дате осуществляется без вручения знака отличия «Семейное счастье».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 xml:space="preserve">Размер единовременного денежного вознаграждения при его фактической выплате после исчисления и удержания налогов и сборов, произведенных в соответствии                                       с законодательством Российской Федерации, составляет: 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 xml:space="preserve">1) 50 000 рублей - для супружеской, пары, стаж семейной жизни которой на дату награждения составляет 50 лет; 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 xml:space="preserve">2) 100 000 рублей - для супружеской пары, стаж семейной жизни которой на дату награждения составляет 60 лет; 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3) 150 000 рублей - для супружеской пары, стаж семейной жизни которой на дату награждения составляет 70 лет.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 xml:space="preserve">Порядок выплаты единовременного денежного вознаграждения утверждается Губернатором Челябинской области. </w:t>
      </w:r>
    </w:p>
    <w:p>
      <w:pPr>
        <w:pStyle w:val="BodyText"/>
        <w:bidi w:val="0"/>
        <w:spacing w:lineRule="auto" w:line="240" w:before="0" w:after="0"/>
        <w:ind w:hanging="0" w:left="0" w:righ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BodyText"/>
        <w:bidi w:val="0"/>
        <w:jc w:val="both"/>
        <w:rPr/>
      </w:pPr>
      <w:r>
        <w:rPr>
          <w:rFonts w:ascii="Tinos" w:hAnsi="Tinos"/>
          <w:sz w:val="26"/>
          <w:szCs w:val="26"/>
        </w:rPr>
        <w:tab/>
        <w:t>Курчатовское управление социальной защиты населения Администрации города Челябинска осуществляет консультирование и прием документов от граждан, претендующих на награждение знаком отличия "</w:t>
      </w:r>
      <w:r>
        <w:rPr>
          <w:rStyle w:val="Strong"/>
          <w:rFonts w:ascii="Tinos" w:hAnsi="Tinos"/>
          <w:sz w:val="26"/>
          <w:szCs w:val="26"/>
        </w:rPr>
        <w:t>Семейное счастье</w:t>
      </w:r>
      <w:r>
        <w:rPr>
          <w:rFonts w:ascii="Tinos" w:hAnsi="Tinos"/>
          <w:sz w:val="26"/>
          <w:szCs w:val="26"/>
        </w:rPr>
        <w:t xml:space="preserve">" по адресу:                   г. Челябинск, Комсомольский проспект, 107/А, каб. 4, телефон 731-53-03, 731-54-14. </w:t>
      </w:r>
    </w:p>
    <w:p>
      <w:pPr>
        <w:pStyle w:val="BodyText"/>
        <w:bidi w:val="0"/>
        <w:jc w:val="center"/>
        <w:rPr/>
      </w:pPr>
      <w:r>
        <w:rPr>
          <w:rFonts w:ascii="Tinos" w:hAnsi="Tinos"/>
          <w:b/>
          <w:bCs/>
          <w:color w:val="auto"/>
          <w:sz w:val="26"/>
          <w:szCs w:val="26"/>
        </w:rPr>
        <w:t>ПРИЕМНЫЕ ДНИ:</w:t>
      </w:r>
    </w:p>
    <w:p>
      <w:pPr>
        <w:pStyle w:val="BodyText"/>
        <w:bidi w:val="0"/>
        <w:spacing w:before="0" w:after="57"/>
        <w:jc w:val="both"/>
        <w:rPr>
          <w:color w:val="FF0000"/>
        </w:rPr>
      </w:pPr>
      <w:r>
        <w:rPr>
          <w:b/>
          <w:bCs/>
          <w:color w:val="FF0000"/>
          <w:sz w:val="22"/>
          <w:szCs w:val="22"/>
        </w:rPr>
        <w:t xml:space="preserve">           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</w:rPr>
        <w:t xml:space="preserve">ПОНЕДЕЛЬНИК, СРЕДА  </w:t>
      </w:r>
      <w:r>
        <w:rPr>
          <w:b w:val="false"/>
          <w:bCs w:val="false"/>
          <w:color w:val="auto"/>
          <w:sz w:val="26"/>
          <w:szCs w:val="26"/>
        </w:rPr>
        <w:t xml:space="preserve">с 8:00 до 17:00, </w:t>
      </w:r>
      <w:r>
        <w:rPr>
          <w:b w:val="false"/>
          <w:bCs w:val="false"/>
          <w:color w:val="auto"/>
          <w:sz w:val="22"/>
          <w:szCs w:val="22"/>
        </w:rPr>
        <w:t xml:space="preserve">  ПЯТНИЦА </w:t>
      </w:r>
      <w:r>
        <w:rPr>
          <w:b w:val="false"/>
          <w:bCs w:val="false"/>
          <w:color w:val="auto"/>
          <w:sz w:val="26"/>
          <w:szCs w:val="26"/>
        </w:rPr>
        <w:t>с 8:00 до  12:00</w:t>
      </w:r>
    </w:p>
    <w:p>
      <w:pPr>
        <w:pStyle w:val="BodyText"/>
        <w:bidi w:val="0"/>
        <w:spacing w:before="0" w:after="57"/>
        <w:jc w:val="both"/>
        <w:rPr>
          <w:color w:val="auto"/>
        </w:rPr>
      </w:pPr>
      <w:r>
        <w:rPr>
          <w:b w:val="false"/>
          <w:bCs w:val="false"/>
          <w:color w:val="auto"/>
          <w:sz w:val="22"/>
          <w:szCs w:val="22"/>
        </w:rPr>
        <w:t xml:space="preserve">                                                               </w:t>
      </w:r>
      <w:r>
        <w:rPr>
          <w:b w:val="false"/>
          <w:bCs w:val="false"/>
          <w:color w:val="auto"/>
          <w:sz w:val="26"/>
          <w:szCs w:val="26"/>
        </w:rPr>
        <w:t xml:space="preserve">   </w:t>
      </w:r>
      <w:r>
        <w:rPr>
          <w:b w:val="false"/>
          <w:bCs w:val="false"/>
          <w:color w:val="auto"/>
          <w:sz w:val="22"/>
          <w:szCs w:val="22"/>
        </w:rPr>
        <w:t>ПЕРЕРЫВ</w:t>
      </w:r>
      <w:r>
        <w:rPr>
          <w:b w:val="false"/>
          <w:bCs w:val="false"/>
          <w:color w:val="auto"/>
          <w:sz w:val="24"/>
          <w:szCs w:val="24"/>
        </w:rPr>
        <w:t xml:space="preserve"> </w:t>
      </w:r>
      <w:r>
        <w:rPr>
          <w:b w:val="false"/>
          <w:bCs w:val="false"/>
          <w:color w:val="auto"/>
          <w:sz w:val="26"/>
          <w:szCs w:val="26"/>
        </w:rPr>
        <w:t xml:space="preserve">с 12:00 до 12:45.         </w:t>
      </w:r>
      <w:r>
        <w:rPr>
          <w:b w:val="false"/>
          <w:bCs w:val="false"/>
          <w:color w:val="auto"/>
          <w:sz w:val="24"/>
          <w:szCs w:val="24"/>
        </w:rPr>
        <w:t xml:space="preserve">                  </w:t>
      </w:r>
      <w:r>
        <w:rPr>
          <w:b/>
          <w:bCs/>
          <w:color w:val="auto"/>
          <w:sz w:val="24"/>
          <w:szCs w:val="24"/>
        </w:rPr>
        <w:t xml:space="preserve">                   </w:t>
      </w:r>
    </w:p>
    <w:sectPr>
      <w:type w:val="nextPage"/>
      <w:pgSz w:w="11906" w:h="16838"/>
      <w:pgMar w:left="1134" w:right="567" w:gutter="0" w:header="0" w:top="454" w:footer="0" w:bottom="27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Tinos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5"/>
    <w:next w:val="BodyText"/>
    <w:qFormat/>
    <w:pPr>
      <w:spacing w:lineRule="auto" w:line="240"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57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LibreOffice/24.2.2.2$Linux_X86_64 LibreOffice_project/d56cc158d8a96260b836f100ef4b4ef25d6f1a01</Application>
  <AppVersion>15.0000</AppVersion>
  <Pages>2</Pages>
  <Words>833</Words>
  <Characters>5681</Characters>
  <CharactersWithSpaces>6747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2024-11-26T16:16:27Z</cp:lastPrinted>
  <dcterms:modified xsi:type="dcterms:W3CDTF">2025-01-23T10:52:56Z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